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68" w:rsidRDefault="00E609EA">
      <w:r>
        <w:fldChar w:fldCharType="begin"/>
      </w:r>
      <w:r>
        <w:instrText xml:space="preserve"> HYPERLINK "</w:instrText>
      </w:r>
      <w:r w:rsidRPr="00E609EA">
        <w:instrText>https://www.mebelok.com/uk-ua/yakoyu-povinna-buti-parta-dlya-shkolyara/</w:instrText>
      </w:r>
      <w:r>
        <w:instrText xml:space="preserve">" </w:instrText>
      </w:r>
      <w:r>
        <w:fldChar w:fldCharType="separate"/>
      </w:r>
      <w:r w:rsidRPr="006E717C">
        <w:rPr>
          <w:rStyle w:val="Hyperlink"/>
        </w:rPr>
        <w:t>https://www.mebelok.com/uk-ua/yakoyu-povinna-buti-parta-dlya-shkolyara/</w:t>
      </w:r>
      <w:r>
        <w:fldChar w:fldCharType="end"/>
      </w:r>
    </w:p>
    <w:p w:rsidR="00E609EA" w:rsidRDefault="00E609EA"/>
    <w:p w:rsidR="00E609EA" w:rsidRDefault="00E609EA">
      <w:r>
        <w:rPr>
          <w:noProof/>
        </w:rPr>
        <w:drawing>
          <wp:inline distT="0" distB="0" distL="0" distR="0">
            <wp:extent cx="5943600" cy="4459093"/>
            <wp:effectExtent l="0" t="0" r="0" b="0"/>
            <wp:docPr id="1" name="Picture 1" descr="Ð¡ÑÐ°Ð½Ð´Ð°ÑÑÐ¸ Ð´Ð»Ñ ÑÐºÑÐ»ÑÐ½Ð¾Ñ Ð¿Ð°Ñ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ÑÐ°Ð½Ð´Ð°ÑÑÐ¸ Ð´Ð»Ñ ÑÐºÑÐ»ÑÐ½Ð¾Ñ Ð¿Ð°ÑÑÐ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9EA" w:rsidRDefault="00E609EA" w:rsidP="00E609EA">
      <w:pPr>
        <w:rPr>
          <w:color w:val="A9A9A9"/>
        </w:rPr>
      </w:pPr>
      <w:hyperlink r:id="rId6" w:history="1">
        <w:r>
          <w:rPr>
            <w:rStyle w:val="Hyperlink"/>
            <w:color w:val="979797"/>
          </w:rPr>
          <w:t>Магазин</w:t>
        </w:r>
      </w:hyperlink>
      <w:r>
        <w:rPr>
          <w:color w:val="F45A10"/>
        </w:rPr>
        <w:t>&gt;</w:t>
      </w:r>
      <w:hyperlink r:id="rId7" w:history="1">
        <w:r>
          <w:rPr>
            <w:rStyle w:val="Hyperlink"/>
            <w:color w:val="979797"/>
          </w:rPr>
          <w:t>Покупцеві</w:t>
        </w:r>
      </w:hyperlink>
      <w:r>
        <w:rPr>
          <w:color w:val="F45A10"/>
        </w:rPr>
        <w:t>&gt;</w:t>
      </w:r>
      <w:hyperlink r:id="rId8" w:history="1">
        <w:r>
          <w:rPr>
            <w:rStyle w:val="Hyperlink"/>
            <w:color w:val="979797"/>
          </w:rPr>
          <w:t>Дитячі меблі</w:t>
        </w:r>
      </w:hyperlink>
      <w:r>
        <w:rPr>
          <w:color w:val="F45A10"/>
        </w:rPr>
        <w:t>&gt;</w:t>
      </w:r>
      <w:r>
        <w:rPr>
          <w:color w:val="A9A9A9"/>
        </w:rPr>
        <w:t>Якою повинна бути парта для школяра?</w:t>
      </w:r>
      <w:r>
        <w:rPr>
          <w:rStyle w:val="iconemo"/>
          <w:rFonts w:ascii="Segoe UI Emoji" w:hAnsi="Segoe UI Emoji" w:cs="Segoe UI Emoji"/>
          <w:color w:val="A9A9A9"/>
        </w:rPr>
        <w:t>⭐</w:t>
      </w:r>
    </w:p>
    <w:p w:rsidR="00E609EA" w:rsidRDefault="00E609EA" w:rsidP="00E609EA">
      <w:pPr>
        <w:pStyle w:val="Heading1"/>
        <w:spacing w:before="225" w:beforeAutospacing="0" w:after="225" w:afterAutospacing="0" w:line="540" w:lineRule="atLeast"/>
        <w:rPr>
          <w:b w:val="0"/>
          <w:bCs w:val="0"/>
          <w:color w:val="000000"/>
          <w:sz w:val="51"/>
          <w:szCs w:val="51"/>
        </w:rPr>
      </w:pPr>
      <w:r>
        <w:rPr>
          <w:b w:val="0"/>
          <w:bCs w:val="0"/>
          <w:color w:val="000000"/>
          <w:sz w:val="51"/>
          <w:szCs w:val="51"/>
        </w:rPr>
        <w:t>Якою повинна бути парта для школяра?</w:t>
      </w:r>
    </w:p>
    <w:p w:rsidR="00E609EA" w:rsidRDefault="00E609EA" w:rsidP="00E609EA">
      <w:pPr>
        <w:spacing w:line="270" w:lineRule="atLeast"/>
        <w:rPr>
          <w:color w:val="3A3A3A"/>
          <w:sz w:val="21"/>
          <w:szCs w:val="21"/>
        </w:rPr>
      </w:pPr>
      <w:r>
        <w:rPr>
          <w:color w:val="3A3A3A"/>
          <w:sz w:val="21"/>
          <w:szCs w:val="21"/>
        </w:rPr>
        <w:t>                    </w:t>
      </w:r>
    </w:p>
    <w:p w:rsidR="00E609EA" w:rsidRDefault="00E609EA" w:rsidP="00E609EA">
      <w:pPr>
        <w:spacing w:line="270" w:lineRule="atLeast"/>
        <w:rPr>
          <w:color w:val="949494"/>
          <w:sz w:val="17"/>
          <w:szCs w:val="17"/>
        </w:rPr>
      </w:pPr>
      <w:r>
        <w:rPr>
          <w:color w:val="949494"/>
          <w:sz w:val="17"/>
          <w:szCs w:val="17"/>
        </w:rPr>
        <w:t>(7) Проголосували</w:t>
      </w:r>
    </w:p>
    <w:p w:rsidR="00E609EA" w:rsidRDefault="00E609EA" w:rsidP="00E609EA">
      <w:pPr>
        <w:spacing w:line="270" w:lineRule="atLeast"/>
        <w:rPr>
          <w:color w:val="3A3A3A"/>
          <w:sz w:val="21"/>
          <w:szCs w:val="21"/>
        </w:rPr>
      </w:pPr>
      <w:r>
        <w:rPr>
          <w:color w:val="3A3A3A"/>
          <w:sz w:val="21"/>
          <w:szCs w:val="21"/>
        </w:rPr>
        <w:t>   </w:t>
      </w:r>
    </w:p>
    <w:p w:rsidR="00E609EA" w:rsidRDefault="00E609EA" w:rsidP="00E609EA">
      <w:pPr>
        <w:spacing w:line="270" w:lineRule="atLeast"/>
        <w:rPr>
          <w:color w:val="949494"/>
          <w:sz w:val="17"/>
          <w:szCs w:val="17"/>
        </w:rPr>
      </w:pPr>
      <w:r>
        <w:rPr>
          <w:color w:val="949494"/>
          <w:sz w:val="17"/>
          <w:szCs w:val="17"/>
        </w:rPr>
        <w:t>(2840) Дивилися</w:t>
      </w:r>
    </w:p>
    <w:p w:rsidR="00E609EA" w:rsidRDefault="00E609EA" w:rsidP="00E609EA">
      <w:pPr>
        <w:spacing w:line="270" w:lineRule="atLeast"/>
        <w:rPr>
          <w:color w:val="3A3A3A"/>
          <w:sz w:val="21"/>
          <w:szCs w:val="21"/>
        </w:rPr>
      </w:pPr>
    </w:p>
    <w:p w:rsidR="00E609EA" w:rsidRDefault="00E609EA" w:rsidP="00E609EA">
      <w:pPr>
        <w:pStyle w:val="NormalWeb"/>
        <w:spacing w:before="0" w:beforeAutospacing="0" w:after="0" w:afterAutospacing="0" w:line="270" w:lineRule="atLeast"/>
        <w:jc w:val="both"/>
        <w:rPr>
          <w:i/>
          <w:iCs/>
          <w:color w:val="8E8E8E"/>
          <w:sz w:val="21"/>
          <w:szCs w:val="21"/>
        </w:rPr>
      </w:pPr>
      <w:r>
        <w:rPr>
          <w:i/>
          <w:iCs/>
          <w:color w:val="8E8E8E"/>
          <w:sz w:val="21"/>
          <w:szCs w:val="21"/>
        </w:rPr>
        <w:t>Нікуди не дітися, роки не повернути,</w:t>
      </w:r>
    </w:p>
    <w:p w:rsidR="00E609EA" w:rsidRDefault="00E609EA" w:rsidP="00E609EA">
      <w:pPr>
        <w:pStyle w:val="NormalWeb"/>
        <w:spacing w:before="0" w:beforeAutospacing="0" w:after="0" w:afterAutospacing="0" w:line="270" w:lineRule="atLeast"/>
        <w:jc w:val="both"/>
        <w:rPr>
          <w:i/>
          <w:iCs/>
          <w:color w:val="8E8E8E"/>
          <w:sz w:val="21"/>
          <w:szCs w:val="21"/>
        </w:rPr>
      </w:pPr>
      <w:r>
        <w:rPr>
          <w:i/>
          <w:iCs/>
          <w:color w:val="8E8E8E"/>
          <w:sz w:val="21"/>
          <w:szCs w:val="21"/>
        </w:rPr>
        <w:t>Залишає дитинство усіх коли-небудь.</w:t>
      </w:r>
    </w:p>
    <w:p w:rsidR="00E609EA" w:rsidRDefault="00E609EA" w:rsidP="00E609EA">
      <w:pPr>
        <w:pStyle w:val="NormalWeb"/>
        <w:spacing w:before="0" w:beforeAutospacing="0" w:after="0" w:afterAutospacing="0" w:line="270" w:lineRule="atLeast"/>
        <w:jc w:val="both"/>
        <w:rPr>
          <w:i/>
          <w:iCs/>
          <w:color w:val="8E8E8E"/>
          <w:sz w:val="21"/>
          <w:szCs w:val="21"/>
        </w:rPr>
      </w:pPr>
      <w:r>
        <w:rPr>
          <w:i/>
          <w:iCs/>
          <w:color w:val="8E8E8E"/>
          <w:sz w:val="21"/>
          <w:szCs w:val="21"/>
        </w:rPr>
        <w:t>Парта шкільна мені сниться і задачників сторінки,</w:t>
      </w:r>
    </w:p>
    <w:p w:rsidR="00E609EA" w:rsidRDefault="00E609EA" w:rsidP="00E609EA">
      <w:pPr>
        <w:pStyle w:val="NormalWeb"/>
        <w:spacing w:before="0" w:beforeAutospacing="0" w:after="0" w:afterAutospacing="0" w:line="270" w:lineRule="atLeast"/>
        <w:jc w:val="both"/>
        <w:rPr>
          <w:i/>
          <w:iCs/>
          <w:color w:val="8E8E8E"/>
          <w:sz w:val="21"/>
          <w:szCs w:val="21"/>
        </w:rPr>
      </w:pPr>
      <w:r>
        <w:rPr>
          <w:i/>
          <w:iCs/>
          <w:color w:val="8E8E8E"/>
          <w:sz w:val="21"/>
          <w:szCs w:val="21"/>
        </w:rPr>
        <w:t>Пам'ятаю всіх вчителів до одного.</w:t>
      </w:r>
    </w:p>
    <w:p w:rsidR="00E609EA" w:rsidRDefault="00E609EA" w:rsidP="00E609EA">
      <w:pPr>
        <w:pStyle w:val="NormalWeb"/>
        <w:spacing w:before="0" w:beforeAutospacing="0" w:after="0" w:afterAutospacing="0" w:line="270" w:lineRule="atLeast"/>
        <w:jc w:val="both"/>
        <w:rPr>
          <w:color w:val="616161"/>
          <w:sz w:val="21"/>
          <w:szCs w:val="21"/>
        </w:rPr>
      </w:pPr>
      <w:r>
        <w:rPr>
          <w:color w:val="616161"/>
          <w:sz w:val="21"/>
          <w:szCs w:val="21"/>
        </w:rPr>
        <w:lastRenderedPageBreak/>
        <w:t xml:space="preserve">Шкільні роки – найбільш безтурботна та прекрасна пора, яка залишає незгладимий слід у душі кожної людини. То і справа спливають у пам'яті уривки приємних спогадів та наївних шкільних досягнень - перші палички й гачечки, пізніше рівняння з двома невідомими, а потім функції з інтегралами. Незмінним супутником всіх дитячих </w:t>
      </w:r>
      <w:proofErr w:type="spellStart"/>
      <w:r>
        <w:rPr>
          <w:color w:val="616161"/>
          <w:sz w:val="21"/>
          <w:szCs w:val="21"/>
        </w:rPr>
        <w:t>перемог</w:t>
      </w:r>
      <w:proofErr w:type="spellEnd"/>
      <w:r>
        <w:rPr>
          <w:color w:val="616161"/>
          <w:sz w:val="21"/>
          <w:szCs w:val="21"/>
        </w:rPr>
        <w:t xml:space="preserve"> була, є та буде </w:t>
      </w:r>
      <w:hyperlink r:id="rId9" w:history="1">
        <w:r>
          <w:rPr>
            <w:rStyle w:val="Hyperlink"/>
            <w:sz w:val="21"/>
            <w:szCs w:val="21"/>
          </w:rPr>
          <w:t>шкільна парта</w:t>
        </w:r>
      </w:hyperlink>
      <w:r>
        <w:rPr>
          <w:color w:val="616161"/>
          <w:sz w:val="21"/>
          <w:szCs w:val="21"/>
        </w:rPr>
        <w:t>.</w:t>
      </w:r>
    </w:p>
    <w:p w:rsidR="00E609EA" w:rsidRDefault="00E609EA" w:rsidP="00E609EA">
      <w:pPr>
        <w:pStyle w:val="Heading2"/>
        <w:spacing w:before="75" w:beforeAutospacing="0" w:after="150" w:afterAutospacing="0" w:line="435" w:lineRule="atLeast"/>
        <w:jc w:val="both"/>
        <w:rPr>
          <w:color w:val="F45A10"/>
          <w:sz w:val="30"/>
          <w:szCs w:val="30"/>
        </w:rPr>
      </w:pPr>
      <w:r>
        <w:rPr>
          <w:color w:val="F45A10"/>
          <w:sz w:val="30"/>
          <w:szCs w:val="30"/>
        </w:rPr>
        <w:t xml:space="preserve">Історія парти </w:t>
      </w:r>
      <w:proofErr w:type="spellStart"/>
      <w:r>
        <w:rPr>
          <w:color w:val="F45A10"/>
          <w:sz w:val="30"/>
          <w:szCs w:val="30"/>
        </w:rPr>
        <w:t>Ерісмана</w:t>
      </w:r>
      <w:proofErr w:type="spellEnd"/>
    </w:p>
    <w:p w:rsidR="00E609EA" w:rsidRDefault="00E609EA" w:rsidP="00E609EA">
      <w:pPr>
        <w:pStyle w:val="NormalWeb"/>
        <w:spacing w:before="0" w:beforeAutospacing="0" w:after="0" w:afterAutospacing="0" w:line="270" w:lineRule="atLeast"/>
        <w:jc w:val="both"/>
        <w:rPr>
          <w:color w:val="616161"/>
          <w:sz w:val="21"/>
          <w:szCs w:val="21"/>
        </w:rPr>
      </w:pPr>
      <w:r>
        <w:rPr>
          <w:color w:val="616161"/>
          <w:sz w:val="21"/>
          <w:szCs w:val="21"/>
        </w:rPr>
        <w:t xml:space="preserve">Конструкція робочого місця учня була створена ще в XIX столітті. Вона стала одним з найважливіших винаходів людства та плодом багаторічних робіт Федора </w:t>
      </w:r>
      <w:proofErr w:type="spellStart"/>
      <w:r>
        <w:rPr>
          <w:color w:val="616161"/>
          <w:sz w:val="21"/>
          <w:szCs w:val="21"/>
        </w:rPr>
        <w:t>Ерісмана</w:t>
      </w:r>
      <w:proofErr w:type="spellEnd"/>
      <w:r>
        <w:rPr>
          <w:color w:val="616161"/>
          <w:sz w:val="21"/>
          <w:szCs w:val="21"/>
        </w:rPr>
        <w:t xml:space="preserve">. Доктор медицини, який займався вивченням очних </w:t>
      </w:r>
      <w:proofErr w:type="spellStart"/>
      <w:r>
        <w:rPr>
          <w:color w:val="616161"/>
          <w:sz w:val="21"/>
          <w:szCs w:val="21"/>
        </w:rPr>
        <w:t>хвороб</w:t>
      </w:r>
      <w:proofErr w:type="spellEnd"/>
      <w:r>
        <w:rPr>
          <w:color w:val="616161"/>
          <w:sz w:val="21"/>
          <w:szCs w:val="21"/>
        </w:rPr>
        <w:t xml:space="preserve"> і дитячої фізіології, створив унікальний учнівський стіл з похилою стільницею, що отримав назву – парта </w:t>
      </w:r>
      <w:proofErr w:type="spellStart"/>
      <w:r>
        <w:rPr>
          <w:color w:val="616161"/>
          <w:sz w:val="21"/>
          <w:szCs w:val="21"/>
        </w:rPr>
        <w:t>Ерісмана</w:t>
      </w:r>
      <w:proofErr w:type="spellEnd"/>
      <w:r>
        <w:rPr>
          <w:color w:val="616161"/>
          <w:sz w:val="21"/>
          <w:szCs w:val="21"/>
        </w:rPr>
        <w:t>. Вона являла собою цільну конструкцію похилого столу з відкидною кришкою та місця для сидіння, виготовлену з масиву дерева, і стала невід'ємною частиною навчального процесу. Сидячи за нею, зросло не одне покоління учнів.</w:t>
      </w:r>
    </w:p>
    <w:tbl>
      <w:tblPr>
        <w:tblW w:w="7500" w:type="dxa"/>
        <w:tblCellSpacing w:w="15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0"/>
      </w:tblGrid>
      <w:tr w:rsidR="00E609EA" w:rsidTr="00E60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9EA" w:rsidRDefault="00E609E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666230" cy="5002530"/>
                  <wp:effectExtent l="0" t="0" r="1270" b="7620"/>
                  <wp:docPr id="8" name="Picture 8" descr="Винахід Ерісмана - па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инахід Ерісмана - па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6230" cy="500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9EA" w:rsidTr="00E60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9EA" w:rsidRDefault="00E609EA">
            <w:pPr>
              <w:jc w:val="center"/>
            </w:pPr>
            <w:r>
              <w:rPr>
                <w:rStyle w:val="Strong"/>
                <w:i/>
                <w:iCs/>
              </w:rPr>
              <w:t xml:space="preserve">Парта </w:t>
            </w:r>
            <w:proofErr w:type="spellStart"/>
            <w:r>
              <w:rPr>
                <w:rStyle w:val="Strong"/>
                <w:i/>
                <w:iCs/>
              </w:rPr>
              <w:t>Ерісмана</w:t>
            </w:r>
            <w:proofErr w:type="spellEnd"/>
          </w:p>
        </w:tc>
      </w:tr>
    </w:tbl>
    <w:p w:rsidR="00E609EA" w:rsidRDefault="00E609EA" w:rsidP="00E609EA">
      <w:pPr>
        <w:pStyle w:val="NormalWeb"/>
        <w:spacing w:before="0" w:beforeAutospacing="0" w:after="0" w:afterAutospacing="0" w:line="270" w:lineRule="atLeast"/>
        <w:jc w:val="both"/>
        <w:rPr>
          <w:color w:val="616161"/>
          <w:sz w:val="21"/>
          <w:szCs w:val="21"/>
        </w:rPr>
      </w:pPr>
      <w:r>
        <w:rPr>
          <w:rStyle w:val="Strong"/>
          <w:color w:val="616161"/>
          <w:sz w:val="21"/>
          <w:szCs w:val="21"/>
        </w:rPr>
        <w:t>У радянський час указом Комітету народної освіти СРСР було прийнято рішення купити дерев'яні парти відповідної конструкції для оснащення всіх шкіл. </w:t>
      </w:r>
      <w:r>
        <w:rPr>
          <w:color w:val="616161"/>
          <w:sz w:val="21"/>
          <w:szCs w:val="21"/>
        </w:rPr>
        <w:t xml:space="preserve">Результатом такого кроку стало різке </w:t>
      </w:r>
      <w:r>
        <w:rPr>
          <w:color w:val="616161"/>
          <w:sz w:val="21"/>
          <w:szCs w:val="21"/>
        </w:rPr>
        <w:lastRenderedPageBreak/>
        <w:t>скорочення захворювань на сколіоз у дітей та підлітків. Крім того, завдяки даним шкільним меблям, значні успіхи були досягнуті в боротьбі з короткозорістю.</w:t>
      </w:r>
    </w:p>
    <w:p w:rsidR="00E609EA" w:rsidRDefault="00E609EA" w:rsidP="00E609EA">
      <w:pPr>
        <w:pStyle w:val="NormalWeb"/>
        <w:spacing w:before="0" w:beforeAutospacing="0" w:after="0" w:afterAutospacing="0" w:line="270" w:lineRule="atLeast"/>
        <w:jc w:val="both"/>
        <w:rPr>
          <w:color w:val="616161"/>
          <w:sz w:val="21"/>
          <w:szCs w:val="21"/>
        </w:rPr>
      </w:pPr>
      <w:r>
        <w:rPr>
          <w:color w:val="616161"/>
          <w:sz w:val="21"/>
          <w:szCs w:val="21"/>
        </w:rPr>
        <w:t>На жаль, в гонитві за здешевленням продукції в 70-х роках минулого століття почалося повальне витіснення дерев'яних моделей полегшеними конструкціями парт з ДСП із плоскою стільницею, які не цілком відповідали необхідним вимогам. Минуло багато років, перш ніж світила медицини забили тривогу, констатуючи небувале зростання таких захворювань, як сколіоз і короткозорість, особливо серед учнів.</w:t>
      </w:r>
    </w:p>
    <w:tbl>
      <w:tblPr>
        <w:tblW w:w="7500" w:type="dxa"/>
        <w:tblCellSpacing w:w="15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086"/>
      </w:tblGrid>
      <w:tr w:rsidR="00E609EA" w:rsidTr="00E60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9EA" w:rsidRDefault="00E609E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716270" cy="4011295"/>
                  <wp:effectExtent l="0" t="0" r="0" b="8255"/>
                  <wp:docPr id="7" name="Picture 7" descr="Радянська парта без нахилу стільниц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адянська парта без нахилу стільниц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6270" cy="401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9EA" w:rsidTr="00E60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9EA" w:rsidRDefault="00E609EA">
            <w:pPr>
              <w:jc w:val="center"/>
            </w:pPr>
            <w:r>
              <w:rPr>
                <w:rStyle w:val="Strong"/>
                <w:i/>
                <w:iCs/>
              </w:rPr>
              <w:t>Учнівський стіл з горизонтальною стільницею</w:t>
            </w:r>
          </w:p>
        </w:tc>
      </w:tr>
    </w:tbl>
    <w:p w:rsidR="00E609EA" w:rsidRDefault="00E609EA" w:rsidP="00E609EA">
      <w:pPr>
        <w:pStyle w:val="Heading2"/>
        <w:spacing w:before="75" w:beforeAutospacing="0" w:after="150" w:afterAutospacing="0" w:line="435" w:lineRule="atLeast"/>
        <w:jc w:val="both"/>
        <w:rPr>
          <w:color w:val="F45A10"/>
          <w:sz w:val="30"/>
          <w:szCs w:val="30"/>
        </w:rPr>
      </w:pPr>
      <w:r>
        <w:rPr>
          <w:color w:val="F45A10"/>
          <w:sz w:val="30"/>
          <w:szCs w:val="30"/>
        </w:rPr>
        <w:t>Класична парта - запорука правильної постави</w:t>
      </w:r>
    </w:p>
    <w:p w:rsidR="00E609EA" w:rsidRDefault="00E609EA" w:rsidP="00E609EA">
      <w:pPr>
        <w:pStyle w:val="NormalWeb"/>
        <w:spacing w:before="0" w:beforeAutospacing="0" w:after="0" w:afterAutospacing="0" w:line="270" w:lineRule="atLeast"/>
        <w:jc w:val="both"/>
        <w:rPr>
          <w:color w:val="616161"/>
          <w:sz w:val="21"/>
          <w:szCs w:val="21"/>
        </w:rPr>
      </w:pPr>
      <w:r>
        <w:rPr>
          <w:color w:val="616161"/>
          <w:sz w:val="21"/>
          <w:szCs w:val="21"/>
        </w:rPr>
        <w:t>Вже з шестирічного віку, а іноді й раніше, дитина більшу частину свого часу проводить, сидячи за партою. Саме в цьому віці відбувається інтенсивний ріст і формування опорно-рухового апарату. Для батьків, а також для керівників шкіл, це повинно послужити найсильнішою мотивацією при виборі моделі для занять.</w:t>
      </w:r>
    </w:p>
    <w:p w:rsidR="00E609EA" w:rsidRDefault="00E609EA" w:rsidP="00E609EA">
      <w:pPr>
        <w:pStyle w:val="NormalWeb"/>
        <w:spacing w:before="0" w:beforeAutospacing="0" w:after="0" w:afterAutospacing="0" w:line="270" w:lineRule="atLeast"/>
        <w:jc w:val="both"/>
        <w:rPr>
          <w:color w:val="616161"/>
          <w:sz w:val="21"/>
          <w:szCs w:val="21"/>
        </w:rPr>
      </w:pPr>
      <w:r>
        <w:rPr>
          <w:color w:val="616161"/>
          <w:sz w:val="21"/>
          <w:szCs w:val="21"/>
        </w:rPr>
        <w:t>Хребет дитини, що виконує навчальні завдання в школі та вдома, повинен знаходитися в максимально природному положенні, при якому м'язове навантаження мінімальне. Тому єдино правильним рішенням буде купити парту, конструкція якої в повній мірі відповідає розробленим і затвердженим стандартам. У виробі повинні бути неухильно дотримані основні параметри - висота парти та її сидіння, кут нахилу стільниці, дистанція між спинкою та краєм стільниці тощо. Вони повинні знаходитися в суворій відповідності з ростом дитини та у пропорції між собою.</w:t>
      </w:r>
    </w:p>
    <w:tbl>
      <w:tblPr>
        <w:tblW w:w="7500" w:type="dxa"/>
        <w:tblCellSpacing w:w="15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60"/>
      </w:tblGrid>
      <w:tr w:rsidR="00E609EA" w:rsidTr="00E60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9EA" w:rsidRDefault="00E609E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094095" cy="4572000"/>
                  <wp:effectExtent l="0" t="0" r="1905" b="0"/>
                  <wp:docPr id="6" name="Picture 6" descr="Стандарти для шкільної пар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тандарти для шкільної пар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4095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9EA" w:rsidTr="00E60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9EA" w:rsidRDefault="00E609EA">
            <w:pPr>
              <w:jc w:val="center"/>
            </w:pPr>
            <w:r>
              <w:rPr>
                <w:rStyle w:val="Strong"/>
                <w:i/>
                <w:iCs/>
              </w:rPr>
              <w:t>Стандартні розміри для класичної парти</w:t>
            </w:r>
          </w:p>
        </w:tc>
      </w:tr>
    </w:tbl>
    <w:p w:rsidR="00E609EA" w:rsidRDefault="00E609EA" w:rsidP="00E609EA">
      <w:pPr>
        <w:pStyle w:val="Heading2"/>
        <w:spacing w:before="75" w:beforeAutospacing="0" w:after="150" w:afterAutospacing="0" w:line="435" w:lineRule="atLeast"/>
        <w:jc w:val="both"/>
        <w:rPr>
          <w:color w:val="F45A10"/>
          <w:sz w:val="30"/>
          <w:szCs w:val="30"/>
        </w:rPr>
      </w:pPr>
      <w:r>
        <w:rPr>
          <w:color w:val="F45A10"/>
          <w:sz w:val="30"/>
          <w:szCs w:val="30"/>
        </w:rPr>
        <w:t>Функціональність та безпека шкільних меблів</w:t>
      </w:r>
    </w:p>
    <w:p w:rsidR="00E609EA" w:rsidRDefault="00E609EA" w:rsidP="00E609EA">
      <w:pPr>
        <w:pStyle w:val="NormalWeb"/>
        <w:spacing w:before="0" w:beforeAutospacing="0" w:after="0" w:afterAutospacing="0" w:line="270" w:lineRule="atLeast"/>
        <w:jc w:val="both"/>
        <w:rPr>
          <w:color w:val="616161"/>
          <w:sz w:val="21"/>
          <w:szCs w:val="21"/>
        </w:rPr>
      </w:pPr>
      <w:r>
        <w:rPr>
          <w:rStyle w:val="Strong"/>
          <w:color w:val="616161"/>
          <w:sz w:val="21"/>
          <w:szCs w:val="21"/>
        </w:rPr>
        <w:t>Інтернет-магазин «</w:t>
      </w:r>
      <w:proofErr w:type="spellStart"/>
      <w:r>
        <w:rPr>
          <w:rStyle w:val="Strong"/>
          <w:color w:val="616161"/>
          <w:sz w:val="21"/>
          <w:szCs w:val="21"/>
        </w:rPr>
        <w:t>МебельОк</w:t>
      </w:r>
      <w:proofErr w:type="spellEnd"/>
      <w:r>
        <w:rPr>
          <w:rStyle w:val="Strong"/>
          <w:color w:val="616161"/>
          <w:sz w:val="21"/>
          <w:szCs w:val="21"/>
        </w:rPr>
        <w:t>» пропонує класичні парти як з фіксованими розмірами, так і з регульованою висотою.</w:t>
      </w:r>
      <w:r>
        <w:rPr>
          <w:color w:val="616161"/>
          <w:sz w:val="21"/>
          <w:szCs w:val="21"/>
        </w:rPr>
        <w:t> «Парта-</w:t>
      </w:r>
      <w:proofErr w:type="spellStart"/>
      <w:r>
        <w:rPr>
          <w:color w:val="616161"/>
          <w:sz w:val="21"/>
          <w:szCs w:val="21"/>
        </w:rPr>
        <w:t>растішка</w:t>
      </w:r>
      <w:proofErr w:type="spellEnd"/>
      <w:r>
        <w:rPr>
          <w:color w:val="616161"/>
          <w:sz w:val="21"/>
          <w:szCs w:val="21"/>
        </w:rPr>
        <w:t>» представлена рядом моделей, здатних змінювати свій розмір по мірі росту дитини від 100 до 160 сантиметрів. Вони можуть бути укомплектовані додатковою надбудовою, ящиковим блоком та пеналом, вбудованим під відкидною стільницею.</w:t>
      </w:r>
    </w:p>
    <w:tbl>
      <w:tblPr>
        <w:tblW w:w="7500" w:type="dxa"/>
        <w:tblCellSpacing w:w="15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500"/>
      </w:tblGrid>
      <w:tr w:rsidR="00E609EA" w:rsidTr="00E60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9EA" w:rsidRDefault="00E609E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609EA" w:rsidTr="00E60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9EA" w:rsidRDefault="00E609EA">
            <w:pPr>
              <w:jc w:val="center"/>
            </w:pPr>
            <w:r>
              <w:rPr>
                <w:rStyle w:val="Strong"/>
                <w:i/>
                <w:iCs/>
              </w:rPr>
              <w:t>Парта З-890 ТМ </w:t>
            </w:r>
            <w:hyperlink r:id="rId12" w:history="1">
              <w:r>
                <w:rPr>
                  <w:rStyle w:val="Hyperlink"/>
                  <w:b/>
                  <w:bCs/>
                  <w:i/>
                  <w:iCs/>
                </w:rPr>
                <w:t>Абсолют-Мебель</w:t>
              </w:r>
            </w:hyperlink>
          </w:p>
        </w:tc>
      </w:tr>
    </w:tbl>
    <w:p w:rsidR="00E609EA" w:rsidRDefault="00E609EA" w:rsidP="00E609EA">
      <w:pPr>
        <w:pStyle w:val="NormalWeb"/>
        <w:spacing w:before="0" w:beforeAutospacing="0" w:after="0" w:afterAutospacing="0" w:line="270" w:lineRule="atLeast"/>
        <w:jc w:val="both"/>
        <w:rPr>
          <w:color w:val="616161"/>
          <w:sz w:val="21"/>
          <w:szCs w:val="21"/>
        </w:rPr>
      </w:pPr>
      <w:r>
        <w:rPr>
          <w:rStyle w:val="Strong"/>
          <w:color w:val="616161"/>
          <w:sz w:val="21"/>
          <w:szCs w:val="21"/>
        </w:rPr>
        <w:t>Дитячі парти виготовлені виключно з натуральних матеріалів – деревини бука з покриттям лляною олією</w:t>
      </w:r>
      <w:r>
        <w:rPr>
          <w:color w:val="616161"/>
          <w:sz w:val="21"/>
          <w:szCs w:val="21"/>
        </w:rPr>
        <w:t>, що забезпечує високу зносостійкість і тривалий термін служби. Поряд з екологічною безпекою, всі моделі мають класичну конструкцію, що сприяє фізичній безпеці дитини – згладжені краї та відсутність гострих кутів.</w:t>
      </w:r>
    </w:p>
    <w:tbl>
      <w:tblPr>
        <w:tblW w:w="7500" w:type="dxa"/>
        <w:tblCellSpacing w:w="15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500"/>
      </w:tblGrid>
      <w:tr w:rsidR="00E609EA" w:rsidTr="00E609EA">
        <w:trPr>
          <w:tblCellSpacing w:w="15" w:type="dxa"/>
        </w:trPr>
        <w:tc>
          <w:tcPr>
            <w:tcW w:w="0" w:type="auto"/>
            <w:vAlign w:val="center"/>
          </w:tcPr>
          <w:p w:rsidR="00E609EA" w:rsidRDefault="00E609EA">
            <w:pPr>
              <w:jc w:val="center"/>
              <w:rPr>
                <w:sz w:val="24"/>
                <w:szCs w:val="24"/>
              </w:rPr>
            </w:pPr>
          </w:p>
        </w:tc>
      </w:tr>
      <w:tr w:rsidR="00E609EA" w:rsidTr="00E609EA">
        <w:trPr>
          <w:tblCellSpacing w:w="15" w:type="dxa"/>
        </w:trPr>
        <w:tc>
          <w:tcPr>
            <w:tcW w:w="0" w:type="auto"/>
            <w:vAlign w:val="center"/>
          </w:tcPr>
          <w:p w:rsidR="00E609EA" w:rsidRDefault="00E609EA">
            <w:pPr>
              <w:jc w:val="center"/>
            </w:pPr>
          </w:p>
        </w:tc>
      </w:tr>
    </w:tbl>
    <w:p w:rsidR="00E609EA" w:rsidRDefault="00E609EA" w:rsidP="00E609EA">
      <w:pPr>
        <w:pStyle w:val="NormalWeb"/>
        <w:spacing w:before="0" w:beforeAutospacing="0" w:after="0" w:afterAutospacing="0" w:line="270" w:lineRule="atLeast"/>
        <w:jc w:val="both"/>
        <w:rPr>
          <w:color w:val="545454"/>
        </w:rPr>
      </w:pPr>
    </w:p>
    <w:sectPr w:rsidR="00E609EA" w:rsidSect="007A5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23E06"/>
    <w:multiLevelType w:val="multilevel"/>
    <w:tmpl w:val="3AF0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9C20C1"/>
    <w:multiLevelType w:val="multilevel"/>
    <w:tmpl w:val="7438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EA"/>
    <w:rsid w:val="007A51C3"/>
    <w:rsid w:val="009E36AF"/>
    <w:rsid w:val="00E32E68"/>
    <w:rsid w:val="00E6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74AF"/>
  <w15:chartTrackingRefBased/>
  <w15:docId w15:val="{2FDDBDA5-C964-4CA8-A6FC-8A91FF36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0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Heading2">
    <w:name w:val="heading 2"/>
    <w:basedOn w:val="Normal"/>
    <w:link w:val="Heading2Char"/>
    <w:uiPriority w:val="9"/>
    <w:qFormat/>
    <w:rsid w:val="00E60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9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9EA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609E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Heading2Char">
    <w:name w:val="Heading 2 Char"/>
    <w:basedOn w:val="DefaultParagraphFont"/>
    <w:link w:val="Heading2"/>
    <w:uiPriority w:val="9"/>
    <w:rsid w:val="00E609E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iconemo">
    <w:name w:val="icon_emo"/>
    <w:basedOn w:val="DefaultParagraphFont"/>
    <w:rsid w:val="00E609EA"/>
  </w:style>
  <w:style w:type="paragraph" w:styleId="NormalWeb">
    <w:name w:val="Normal (Web)"/>
    <w:basedOn w:val="Normal"/>
    <w:uiPriority w:val="99"/>
    <w:unhideWhenUsed/>
    <w:rsid w:val="00E6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22"/>
    <w:qFormat/>
    <w:rsid w:val="00E609EA"/>
    <w:rPr>
      <w:b/>
      <w:bCs/>
    </w:rPr>
  </w:style>
  <w:style w:type="character" w:customStyle="1" w:styleId="pin1537543931869buttonpin">
    <w:name w:val="pin_1537543931869_button_pin"/>
    <w:basedOn w:val="DefaultParagraphFont"/>
    <w:rsid w:val="00E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002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2031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213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27424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88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3244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6269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11" w:color="CCCCCC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  <w:divsChild>
                        <w:div w:id="165649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7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0196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1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7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8" w:color="999999"/>
                    <w:right w:val="none" w:sz="0" w:space="0" w:color="auto"/>
                  </w:divBdr>
                </w:div>
                <w:div w:id="2257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4219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belok.com/uk-ua/kid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belok.com/uk-ua/articles/" TargetMode="External"/><Relationship Id="rId12" Type="http://schemas.openxmlformats.org/officeDocument/2006/relationships/hyperlink" Target="https://absolut.mebelok.com/uk-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belok.com/uk-ua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mebelok.com/uk-ua/par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2655</Words>
  <Characters>1514</Characters>
  <Application>Microsoft Office Word</Application>
  <DocSecurity>0</DocSecurity>
  <Lines>12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Kvasiuk</dc:creator>
  <cp:keywords/>
  <dc:description/>
  <cp:lastModifiedBy>Liubov Kvasiuk</cp:lastModifiedBy>
  <cp:revision>1</cp:revision>
  <dcterms:created xsi:type="dcterms:W3CDTF">2018-09-21T15:33:00Z</dcterms:created>
  <dcterms:modified xsi:type="dcterms:W3CDTF">2018-09-21T15:35:00Z</dcterms:modified>
</cp:coreProperties>
</file>