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5"/>
          <w:shd w:fill="FFFFFF" w:val="clear"/>
        </w:rPr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Кожна школа за своєю філософією повинна бути інклюзивна. Це означає готовність у будь який час прийняти кожну дитину, прагнучи створити максимально сприятливе середовище для її розвитку. </w:t>
        <w:br/>
        <w:t xml:space="preserve">Відкриття кабінету фізичної реабілітації на базі НВК №2 - це створення інклюзивного освітнього середовища для дітей та дорослих з ООП. </w:t>
        <w:br/>
      </w:r>
    </w:p>
    <w:p>
      <w:pPr>
        <w:spacing w:before="0" w:after="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Своєчасне надання такої допомоги значно підвищує шанси людини на кращу якість життя, а значить і максимальну інтеграцію в суспільство, а дітям в майбутньому і на можливість навчатись і працювати.</w:t>
      </w:r>
      <w:r>
        <w:rPr>
          <w:rFonts w:ascii="Arial" w:hAnsi="Arial" w:cs="Arial" w:eastAsia="Arial"/>
          <w:b/>
          <w:color w:val="auto"/>
          <w:spacing w:val="0"/>
          <w:position w:val="0"/>
          <w:sz w:val="25"/>
          <w:shd w:fill="FFFFFF" w:val="clear"/>
        </w:rPr>
        <w:br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